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1D10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4070C97A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41EE1EEB" w14:textId="005FE746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F1C77">
        <w:rPr>
          <w:b/>
          <w:bCs/>
          <w:color w:val="002060"/>
          <w:sz w:val="20"/>
          <w:szCs w:val="20"/>
        </w:rPr>
        <w:t>4</w:t>
      </w:r>
    </w:p>
    <w:p w14:paraId="6724EFCA" w14:textId="55B0EDD9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14:paraId="0F101118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6381FE72" w14:textId="77777777"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14:paraId="0D0B5194" w14:textId="77777777"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14:paraId="06455F67" w14:textId="77777777" w:rsidR="006162D4" w:rsidRPr="00AA16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AA1658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AA1658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2E69B495" w14:textId="77777777"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14:paraId="28417A84" w14:textId="77777777" w:rsidR="006162D4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14:paraId="2007CC2B" w14:textId="77777777"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14:paraId="59F92820" w14:textId="77777777" w:rsidR="0001364E" w:rsidRPr="0001364E" w:rsidRDefault="0001364E" w:rsidP="0089676D">
      <w:pPr>
        <w:shd w:val="clear" w:color="auto" w:fill="CCCCFF"/>
        <w:spacing w:after="0" w:line="360" w:lineRule="auto"/>
        <w:jc w:val="both"/>
        <w:rPr>
          <w:iCs/>
          <w:sz w:val="20"/>
          <w:szCs w:val="20"/>
        </w:rPr>
      </w:pPr>
      <w:r w:rsidRPr="0001364E">
        <w:rPr>
          <w:iCs/>
          <w:sz w:val="20"/>
          <w:szCs w:val="20"/>
        </w:rPr>
        <w:t xml:space="preserve">Prezentowane wymagania to </w:t>
      </w:r>
      <w:r w:rsidRPr="0001364E">
        <w:rPr>
          <w:b/>
          <w:iCs/>
          <w:sz w:val="20"/>
          <w:szCs w:val="20"/>
        </w:rPr>
        <w:t>propozycja</w:t>
      </w:r>
      <w:r w:rsidRPr="0001364E">
        <w:rPr>
          <w:iCs/>
          <w:sz w:val="20"/>
          <w:szCs w:val="20"/>
        </w:rPr>
        <w:t xml:space="preserve"> wymagań na poszczególne oceny. Zachęcamy do ich weryfikacji po właściwej diagnozie, czyli p</w:t>
      </w:r>
      <w:r>
        <w:rPr>
          <w:iCs/>
          <w:sz w:val="20"/>
          <w:szCs w:val="20"/>
        </w:rPr>
        <w:t>o za</w:t>
      </w:r>
      <w:r w:rsidRPr="0001364E">
        <w:rPr>
          <w:iCs/>
          <w:sz w:val="20"/>
          <w:szCs w:val="20"/>
        </w:rPr>
        <w:t>poznaniu się z możliwościami uczniów w obszarze matematyki.</w:t>
      </w:r>
    </w:p>
    <w:p w14:paraId="0C11F7A9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0DEB1490" w14:textId="77777777"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14:paraId="1E66883F" w14:textId="77777777"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14:paraId="5E85A0F7" w14:textId="77777777"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14:paraId="477D19E4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14:paraId="25572AD4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14:paraId="1C12C92E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14:paraId="17BCAC1A" w14:textId="77777777"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14:paraId="3C231260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14:paraId="2884B7CE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14:paraId="068C25E4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14:paraId="49965D51" w14:textId="77777777"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14:paraId="2886BCD3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14:paraId="5406C0AB" w14:textId="77777777" w:rsidR="00A80BD4" w:rsidRDefault="00EB6CAD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14:paraId="7E4EA8B8" w14:textId="420C403E" w:rsidR="004B5973" w:rsidRDefault="004B5973">
      <w:pPr>
        <w:rPr>
          <w:color w:val="002060"/>
          <w:sz w:val="20"/>
          <w:szCs w:val="20"/>
          <w:u w:val="single"/>
        </w:rPr>
      </w:pPr>
    </w:p>
    <w:p w14:paraId="6B0966E8" w14:textId="62BDD10F" w:rsidR="007350CC" w:rsidRDefault="007350CC">
      <w:pPr>
        <w:rPr>
          <w:color w:val="002060"/>
          <w:sz w:val="20"/>
          <w:szCs w:val="20"/>
          <w:u w:val="single"/>
        </w:rPr>
      </w:pPr>
    </w:p>
    <w:p w14:paraId="270A132E" w14:textId="488E804F" w:rsidR="007350CC" w:rsidRDefault="007350CC">
      <w:pPr>
        <w:rPr>
          <w:color w:val="002060"/>
          <w:sz w:val="20"/>
          <w:szCs w:val="20"/>
          <w:u w:val="single"/>
        </w:rPr>
      </w:pPr>
    </w:p>
    <w:p w14:paraId="70049901" w14:textId="77777777" w:rsidR="0039213B" w:rsidRPr="006A4C58" w:rsidRDefault="0039213B" w:rsidP="0039213B">
      <w:pPr>
        <w:rPr>
          <w:rFonts w:ascii="Calibri" w:hAnsi="Calibri" w:cs="Calibri"/>
          <w:b/>
          <w:bCs/>
          <w:color w:val="002060"/>
          <w:sz w:val="28"/>
          <w:szCs w:val="28"/>
        </w:rPr>
      </w:pPr>
      <w:bookmarkStart w:id="0" w:name="_Hlk176256731"/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14:paraId="7B6EB365" w14:textId="77777777" w:rsidR="0039213B" w:rsidRDefault="0039213B" w:rsidP="0039213B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14:paraId="60E52998" w14:textId="77777777" w:rsidR="0039213B" w:rsidRPr="00A3699F" w:rsidRDefault="0039213B" w:rsidP="0039213B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14:paraId="52798874" w14:textId="77777777" w:rsidR="0039213B" w:rsidRPr="006A4C58" w:rsidRDefault="0039213B" w:rsidP="0039213B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14:paraId="1B74BAFC" w14:textId="54306791" w:rsidR="0039213B" w:rsidRPr="006A4C58" w:rsidRDefault="0039213B" w:rsidP="0039213B">
      <w:pPr>
        <w:pStyle w:val="Akapitzlist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bookmarkStart w:id="1" w:name="_Hlk176208302"/>
      <w:r w:rsidRPr="006A4C58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6A4C58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 są powtórzeniem z planu wynikowego </w:t>
      </w:r>
      <w:r w:rsidRPr="0039213B">
        <w:rPr>
          <w:rFonts w:ascii="Calibri" w:hAnsi="Calibri" w:cs="Calibri"/>
          <w:color w:val="002060"/>
          <w:sz w:val="20"/>
          <w:szCs w:val="20"/>
        </w:rPr>
        <w:t xml:space="preserve">klasy 1, 2 oraz 3, 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zakres </w:t>
      </w:r>
      <w:r>
        <w:rPr>
          <w:rFonts w:ascii="Calibri" w:hAnsi="Calibri" w:cs="Calibri"/>
          <w:color w:val="002060"/>
          <w:sz w:val="20"/>
          <w:szCs w:val="20"/>
        </w:rPr>
        <w:t>podstawowy</w:t>
      </w:r>
      <w:r w:rsidRPr="006A4C58">
        <w:rPr>
          <w:rFonts w:ascii="Calibri" w:hAnsi="Calibri" w:cs="Calibri"/>
          <w:color w:val="002060"/>
          <w:sz w:val="20"/>
          <w:szCs w:val="20"/>
        </w:rPr>
        <w:t>.</w:t>
      </w:r>
      <w:bookmarkEnd w:id="1"/>
    </w:p>
    <w:bookmarkEnd w:id="0"/>
    <w:p w14:paraId="1DDD442C" w14:textId="77777777" w:rsidR="007350CC" w:rsidRDefault="007350CC">
      <w:pPr>
        <w:rPr>
          <w:color w:val="002060"/>
          <w:sz w:val="20"/>
          <w:szCs w:val="20"/>
          <w:u w:val="single"/>
        </w:rPr>
      </w:pPr>
    </w:p>
    <w:p w14:paraId="6630C161" w14:textId="628C0DE7" w:rsidR="00212C99" w:rsidRPr="0051162B" w:rsidRDefault="002422CC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2" w:name="_Hlk15322564"/>
      <w:r>
        <w:rPr>
          <w:b/>
          <w:bCs/>
          <w:color w:val="002060"/>
          <w:sz w:val="28"/>
          <w:szCs w:val="28"/>
        </w:rPr>
        <w:t>FUNKCJA WYKŁADNICZA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C027D4" w:rsidRPr="006E7D5D" w14:paraId="20FB73CD" w14:textId="77777777" w:rsidTr="00C027D4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10D7D1ED" w14:textId="3C6AF91B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29D20AD" w14:textId="73A0E9E0" w:rsidR="00C027D4" w:rsidRDefault="00C027D4" w:rsidP="00C027D4">
            <w:pPr>
              <w:rPr>
                <w:color w:val="002060"/>
                <w:sz w:val="20"/>
                <w:szCs w:val="20"/>
              </w:rPr>
            </w:pPr>
            <w:r w:rsidRPr="00C027D4">
              <w:rPr>
                <w:color w:val="002060"/>
                <w:sz w:val="20"/>
                <w:szCs w:val="20"/>
              </w:rPr>
              <w:t>Potęga o wykładniku rzeczywistym – powtórzenie</w:t>
            </w:r>
          </w:p>
        </w:tc>
      </w:tr>
      <w:tr w:rsidR="00C027D4" w:rsidRPr="006E7D5D" w14:paraId="3F31116D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77787B8" w14:textId="1FD4E99D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F9E83BF" w14:textId="3AA43F5E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wykładnicza i jej własności</w:t>
            </w:r>
          </w:p>
        </w:tc>
      </w:tr>
      <w:tr w:rsidR="00C027D4" w:rsidRPr="006E7D5D" w14:paraId="3362DFFA" w14:textId="77777777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87650AC" w14:textId="5E8565B5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E01BAAA" w14:textId="7AF32766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Przekształcenia wykresów funkcji wykładniczych</w:t>
            </w:r>
          </w:p>
        </w:tc>
      </w:tr>
      <w:tr w:rsidR="00C027D4" w:rsidRPr="006E7D5D" w14:paraId="0C3AC089" w14:textId="77777777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33759F3" w14:textId="764B0B1C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2D82C134" w14:textId="2A38E8B7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wykładnicze</w:t>
            </w:r>
          </w:p>
        </w:tc>
      </w:tr>
      <w:tr w:rsidR="00C027D4" w:rsidRPr="006E7D5D" w14:paraId="37091902" w14:textId="77777777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44F8F6AD" w14:textId="2FCFD3E1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E1C1973" w14:textId="5BFE138D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wykładnicze</w:t>
            </w:r>
          </w:p>
        </w:tc>
      </w:tr>
      <w:bookmarkEnd w:id="2"/>
    </w:tbl>
    <w:p w14:paraId="55785E54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04F35AD" w14:textId="19CAE1B3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7415E2E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A998ED8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5009E41C" w14:textId="41C6CF7F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3130B3D" w14:textId="0CA2DD4F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F10D161" w14:textId="77777777"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5249"/>
      </w:tblGrid>
      <w:tr w:rsidR="000842B3" w:rsidRPr="000842B3" w14:paraId="2693DB47" w14:textId="77777777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14:paraId="5C50E5F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14:paraId="072C7E6A" w14:textId="77777777" w:rsidTr="007F47EF">
        <w:trPr>
          <w:tblHeader/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000000" w:fill="00B0F0"/>
            <w:vAlign w:val="bottom"/>
            <w:hideMark/>
          </w:tcPr>
          <w:p w14:paraId="114FE765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000000" w:fill="00B050"/>
            <w:vAlign w:val="bottom"/>
            <w:hideMark/>
          </w:tcPr>
          <w:p w14:paraId="416CD4C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422CC" w:rsidRPr="000842B3" w14:paraId="5752BA7B" w14:textId="77777777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0FA55FD" w14:textId="699CEE3F"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AE91" w14:textId="446CD7E1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120344CA" w14:textId="77777777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BC8D74E" w14:textId="27054FE7"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prawa działań na potęgach o wykładnikach wymiernych 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i stosuje je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7DEB" w14:textId="61450120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7E21E660" w14:textId="77777777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272B781" w14:textId="043A410D"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zna pojęcie pierwiastka arytmetycznego z liczby nieujemnej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i potrafi stosować prawa działań na pierwiastkach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8A3C" w14:textId="230C7192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6D9DCF9E" w14:textId="77777777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58FF51F" w14:textId="2F6DBB4B"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9708" w14:textId="1FB6EA24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27C0190B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C5B3" w14:textId="47411BE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540B" w14:textId="27D848EF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</w:tr>
      <w:tr w:rsidR="002422CC" w:rsidRPr="000842B3" w14:paraId="76AB2829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5D1" w14:textId="2F72AE66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9CF5" w14:textId="5D995406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</w:tr>
      <w:tr w:rsidR="002422CC" w:rsidRPr="000842B3" w14:paraId="26D57399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FD6" w14:textId="5E394345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A0CC" w14:textId="55D686C8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porównywać potęgi</w:t>
            </w:r>
          </w:p>
        </w:tc>
      </w:tr>
      <w:tr w:rsidR="002422CC" w:rsidRPr="000842B3" w14:paraId="7B15FD72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84FA" w14:textId="21FD82E5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734" w14:textId="159355AC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</w:tr>
      <w:tr w:rsidR="002422CC" w:rsidRPr="000842B3" w14:paraId="104FF086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EA2A" w14:textId="504A701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888" w14:textId="52BAFC91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</w:tr>
      <w:tr w:rsidR="002422CC" w:rsidRPr="000842B3" w14:paraId="0B640A90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F11C" w14:textId="6A783B30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dla różnych podstaw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B45C" w14:textId="4429AD51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potrafi szkicować wykresy funkcji wykładniczych stosując przesunięcie równoległe o wektor </w:t>
            </w:r>
            <w:r w:rsidRPr="0089676D">
              <w:rPr>
                <w:rFonts w:ascii="Calibri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</w:rPr>
              <w:t>i symetrie względem osi układu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(złożenie przekształceń)</w:t>
            </w:r>
          </w:p>
        </w:tc>
      </w:tr>
      <w:tr w:rsidR="002422CC" w:rsidRPr="000842B3" w14:paraId="662480D4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E153" w14:textId="1AFEB2C2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wykładniczych 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(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OX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OY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S(0,0)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przesunięcie równoległe o dany wektor)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EAAB" w14:textId="56D8865D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14:paraId="5FDE3495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35A3" w14:textId="21AEA62C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szkicować wykresy funkcji wykładniczych stosując przesunięcie równoległe o wektor 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albo symetrie względem osi układu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61EA" w14:textId="726009E6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14:paraId="792DCD4E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2B84" w14:textId="6968AC1F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5CAA" w14:textId="7777777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2422CC" w:rsidRPr="000842B3" w14:paraId="36818C30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C5C7" w14:textId="6FA00CEE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1C04" w14:textId="7777777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14:paraId="025DC31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p w14:paraId="11D3DD1A" w14:textId="6FA48C23" w:rsidR="00B93C2A" w:rsidRDefault="00B93C2A">
      <w:pPr>
        <w:rPr>
          <w:b/>
          <w:bCs/>
          <w:color w:val="002060"/>
          <w:sz w:val="20"/>
          <w:szCs w:val="20"/>
        </w:rPr>
      </w:pPr>
    </w:p>
    <w:p w14:paraId="16A11719" w14:textId="2FD75FDA" w:rsidR="007F47EF" w:rsidRDefault="007F47EF">
      <w:pPr>
        <w:rPr>
          <w:b/>
          <w:bCs/>
          <w:color w:val="002060"/>
          <w:sz w:val="20"/>
          <w:szCs w:val="20"/>
        </w:rPr>
      </w:pPr>
    </w:p>
    <w:p w14:paraId="7484EDBB" w14:textId="2AA12056" w:rsidR="007F47EF" w:rsidRDefault="007F47EF">
      <w:pPr>
        <w:rPr>
          <w:b/>
          <w:bCs/>
          <w:color w:val="002060"/>
          <w:sz w:val="20"/>
          <w:szCs w:val="20"/>
        </w:rPr>
      </w:pPr>
    </w:p>
    <w:p w14:paraId="02625165" w14:textId="77777777" w:rsidR="007F47EF" w:rsidRDefault="007F47E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3953"/>
      </w:tblGrid>
      <w:tr w:rsidR="00B93C2A" w14:paraId="348A836E" w14:textId="77777777" w:rsidTr="00B93C2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20213211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14:paraId="569C899D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E0D0DA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BB91663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7F47EF" w14:paraId="1ED43EB1" w14:textId="77777777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E5827F9" w14:textId="379D8D3A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sprawnie przekształca wyrażenia algebraiczne zawierające potęgi i pierwiastki;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702506D" w14:textId="323FBEBE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</w:tr>
      <w:tr w:rsidR="007F47EF" w14:paraId="2A36D6C3" w14:textId="77777777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F75BEA7" w14:textId="49DE4FF0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sprawnie zamienia pierwiastki arytmetyczne na potęgi o wykładniku wymiernym </w:t>
            </w:r>
            <w:r w:rsidR="0018082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i odwrotnie;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31FE8E7" w14:textId="5FD751A8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porównywać wyrażenia zawierające pierwiastki;</w:t>
            </w:r>
          </w:p>
        </w:tc>
      </w:tr>
      <w:tr w:rsidR="007F47EF" w14:paraId="65058C6B" w14:textId="77777777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D9BF99" w14:textId="62647598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sprawnie wykonywać działania na potęgach o wykładniku rzeczywistym;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1260" w14:textId="430020B6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7F47EF" w14:paraId="2B2A23A3" w14:textId="77777777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0E8D0C5" w14:textId="76F3AD72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EA16" w14:textId="7D51EB9E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1824B9" w14:paraId="34FBDF68" w14:textId="77777777" w:rsidTr="008967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5EF4C" w14:textId="3F6AFCD3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EA3D" w14:textId="0671F0F0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 nierówności wykładnicze stosując metodę podstawiania</w:t>
            </w:r>
          </w:p>
        </w:tc>
      </w:tr>
      <w:tr w:rsidR="001824B9" w14:paraId="246CF366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69EE" w14:textId="5C34E933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graficznie równania wykładnicze z parametrem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9E70" w14:textId="74E32456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zaznaczyć w układzie współrzędnych zbiory punktów opisane a pomocą nierówności wykładniczych </w:t>
            </w:r>
          </w:p>
        </w:tc>
      </w:tr>
      <w:tr w:rsidR="001824B9" w14:paraId="742C850E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5930" w14:textId="48F5FD24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44B3" w14:textId="59124155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zadania stosując własności funkcji wykładniczych </w:t>
            </w:r>
          </w:p>
        </w:tc>
      </w:tr>
      <w:tr w:rsidR="001824B9" w14:paraId="6B682824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6EEE" w14:textId="7D7C0EF6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na dowodzenie  (o średnim stopniu trudności), </w:t>
            </w:r>
            <w:r w:rsidR="0018082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których wykorzystuje wiadomości dotyczące funkcji wykładniczej oraz potęg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A29C" w14:textId="7BAB6B7E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</w:p>
        </w:tc>
      </w:tr>
      <w:tr w:rsidR="001824B9" w14:paraId="47A6AE19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E6D" w14:textId="701F2775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rozwiązać równania oraz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wykresów odpowiednich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6C23F" w14:textId="79FE7103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824B9" w14:paraId="7C85B526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FEAE" w14:textId="6F21B882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wykładnicze korzystając </w:t>
            </w:r>
            <w:r w:rsidR="0018082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różnowartościowości/monotoniczności funkcji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3FEF" w14:textId="5DAE2119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CB6AAE3" w14:textId="77777777" w:rsidR="00B93C2A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</w:p>
    <w:p w14:paraId="49A248C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93C2A" w14:paraId="0C30728A" w14:textId="77777777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871AE18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14:paraId="4DDB3CFC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A6C4DE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7F47EF" w14:paraId="3E40E366" w14:textId="77777777" w:rsidTr="008967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C32" w14:textId="5201E152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wykładnicze z parametrem</w:t>
            </w:r>
          </w:p>
        </w:tc>
      </w:tr>
      <w:tr w:rsidR="007F47EF" w14:paraId="46673E97" w14:textId="77777777" w:rsidTr="007F47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95FF" w14:textId="62C86D6D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</w:tbl>
    <w:p w14:paraId="55A910D1" w14:textId="01D8F05D" w:rsidR="000842B3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  <w:r w:rsidR="000842B3">
        <w:rPr>
          <w:b/>
          <w:bCs/>
          <w:color w:val="002060"/>
          <w:sz w:val="20"/>
          <w:szCs w:val="20"/>
        </w:rPr>
        <w:br w:type="page"/>
      </w:r>
    </w:p>
    <w:p w14:paraId="6616F6BA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p w14:paraId="6BD1AF42" w14:textId="2F7A786C" w:rsidR="001F0EA5" w:rsidRPr="0051162B" w:rsidRDefault="00303078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FUNKCJA LOGARYTMICZNA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C027D4" w:rsidRPr="006E7D5D" w14:paraId="6455E43C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2EC915FE" w14:textId="5AAE2F69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735D7B73" w14:textId="6DFBB1E3" w:rsidR="00C027D4" w:rsidRDefault="00C027D4" w:rsidP="00C027D4">
            <w:pPr>
              <w:rPr>
                <w:color w:val="002060"/>
                <w:sz w:val="20"/>
                <w:szCs w:val="20"/>
              </w:rPr>
            </w:pPr>
            <w:r w:rsidRPr="00C027D4">
              <w:rPr>
                <w:color w:val="002060"/>
                <w:sz w:val="20"/>
                <w:szCs w:val="20"/>
              </w:rPr>
              <w:t>Logarytm – powtórzenie wiadomości</w:t>
            </w:r>
          </w:p>
        </w:tc>
      </w:tr>
      <w:tr w:rsidR="00C027D4" w:rsidRPr="006E7D5D" w14:paraId="76265EA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663D68F1" w14:textId="0EEC3FF0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CEFCA07" w14:textId="46A45DE2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logarytmiczna</w:t>
            </w:r>
          </w:p>
        </w:tc>
      </w:tr>
      <w:tr w:rsidR="00C027D4" w:rsidRPr="006E7D5D" w14:paraId="21CB219C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90962DD" w14:textId="5977D443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3822956C" w14:textId="04D8AD00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Przekształcenie wykresów funkcji logarytmicznych</w:t>
            </w:r>
          </w:p>
        </w:tc>
      </w:tr>
      <w:tr w:rsidR="00C027D4" w:rsidRPr="006E7D5D" w14:paraId="54FD7F0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08D51B31" w14:textId="3E0EF944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7280DF25" w14:textId="14B6A299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logarytmiczne</w:t>
            </w:r>
          </w:p>
        </w:tc>
      </w:tr>
      <w:tr w:rsidR="00C027D4" w:rsidRPr="006E7D5D" w14:paraId="5BBF2923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77779DB" w14:textId="6D7B9EB1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D8AAA96" w14:textId="21B57717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funkcji wykładniczej i funkcji logarytmicznej do rozwiązywania zadań umieszczonych w kontekście praktycznym</w:t>
            </w:r>
          </w:p>
        </w:tc>
      </w:tr>
    </w:tbl>
    <w:p w14:paraId="3F46BC72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FAC7679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6649B65A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34E595F4" w14:textId="08CEE2F3"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D48D7" w:rsidRPr="000D48D7" w14:paraId="1F6EBF12" w14:textId="77777777" w:rsidTr="00653BD8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40553212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14:paraId="4E59EB17" w14:textId="77777777" w:rsidTr="00C825A0">
        <w:trPr>
          <w:cantSplit/>
          <w:tblHeader/>
          <w:jc w:val="center"/>
        </w:trPr>
        <w:tc>
          <w:tcPr>
            <w:tcW w:w="5387" w:type="dxa"/>
            <w:tcBorders>
              <w:bottom w:val="single" w:sz="4" w:space="0" w:color="auto"/>
            </w:tcBorders>
            <w:shd w:val="clear" w:color="000000" w:fill="00B0F0"/>
            <w:vAlign w:val="center"/>
            <w:hideMark/>
          </w:tcPr>
          <w:p w14:paraId="76A4E9E8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000000" w:fill="00B050"/>
            <w:vAlign w:val="center"/>
            <w:hideMark/>
          </w:tcPr>
          <w:p w14:paraId="2FAE575A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D165F2" w:rsidRPr="000D48D7" w14:paraId="06EA09D8" w14:textId="7777777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6A9CB190" w14:textId="6896726B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854C3D9" w14:textId="6EB05A32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</w:tr>
      <w:tr w:rsidR="00D165F2" w:rsidRPr="000D48D7" w14:paraId="360F6158" w14:textId="7777777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5B8844CF" w14:textId="7E811C82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5C4B2E3" w14:textId="42157E07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potrafi zamienić podstawę logarytmu;</w:t>
            </w:r>
          </w:p>
        </w:tc>
      </w:tr>
      <w:tr w:rsidR="00D165F2" w:rsidRPr="000D48D7" w14:paraId="543EEBAF" w14:textId="7777777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07162D43" w14:textId="4F3D0F78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pojęcie logarytmu dziesiętnego;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D310F8" w14:textId="74874B5A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1824B9" w:rsidRPr="000D48D7" w14:paraId="0876678C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8081" w14:textId="5CF6B2E8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założenia i zapisać w prostszej postaci wyrażenia zawierające logarytmy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5DE" w14:textId="7F3A60D8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do obliczeń logarytmu równości wynikające z definicji logarytmu</w:t>
            </w:r>
          </w:p>
        </w:tc>
      </w:tr>
      <w:tr w:rsidR="001824B9" w:rsidRPr="000D48D7" w14:paraId="6A04DB8C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DCA" w14:textId="7DA23441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logarytmicznej;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869B" w14:textId="52BB9022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</w:tr>
      <w:tr w:rsidR="001824B9" w:rsidRPr="000D48D7" w14:paraId="4B52EB14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71A2" w14:textId="00953F33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43A5" w14:textId="36D2D367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</w:tr>
      <w:tr w:rsidR="001824B9" w:rsidRPr="000D48D7" w14:paraId="06415252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4BD0" w14:textId="197226B9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3377" w14:textId="4B44520F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podaje odpowiednie założenia dla dla podstawy oraz liczby logarytmowanej</w:t>
            </w:r>
          </w:p>
        </w:tc>
      </w:tr>
      <w:tr w:rsidR="001824B9" w:rsidRPr="000D48D7" w14:paraId="2BE97665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D175" w14:textId="170CF4E6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3BC9" w14:textId="159B0C64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obliczyć/wyznaczyć  przybliżoną wartość logarytmu  mając przybliżenie innego logarytmu (np.  Wyznaczyć log</w:t>
            </w:r>
            <w:r w:rsidRPr="001824B9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C825A0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</w:tr>
      <w:tr w:rsidR="001824B9" w:rsidRPr="000D48D7" w14:paraId="634F541F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B95" w14:textId="3399D848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opisać własności funkcji logarytmicznej na podstawie jej wykresu;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A344" w14:textId="78371910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</w:t>
            </w:r>
            <w:r w:rsidR="00C825A0">
              <w:rPr>
                <w:rFonts w:ascii="Calibri" w:hAnsi="Calibri" w:cs="Calibri"/>
                <w:color w:val="00B050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afi wyznaczyć wzór funkcji logarytmicznej gdy dany jest punkt należący do wykresu</w:t>
            </w:r>
          </w:p>
        </w:tc>
      </w:tr>
      <w:tr w:rsidR="001824B9" w:rsidRPr="000D48D7" w14:paraId="5BB337A4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232B" w14:textId="1B56E1D0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przekształcać wykresy funkcji logarytmicznych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(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OX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OY</w:t>
            </w:r>
            <w:r w:rsidR="0011466B"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</w:t>
            </w:r>
            <w:r w:rsidR="0011466B"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0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przesunięcie równoległe o dany wektor);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16C4" w14:textId="67602386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graficznie rozwiązywać równania, nierówności zastosowaniem wykresów funkcji logarytmicznych;</w:t>
            </w:r>
          </w:p>
        </w:tc>
      </w:tr>
      <w:tr w:rsidR="001824B9" w:rsidRPr="000D48D7" w14:paraId="20216870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A71A3" w14:textId="30105021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32A2" w14:textId="6E3FBEC4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</w:tr>
      <w:tr w:rsidR="001824B9" w:rsidRPr="000D48D7" w14:paraId="7269598D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066A1" w14:textId="0C7EC75F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1570" w14:textId="1E866568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</w:tr>
      <w:tr w:rsidR="001824B9" w:rsidRPr="000D48D7" w14:paraId="14E620DA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D7DB1" w14:textId="5723F3F9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D8BA" w14:textId="24ED1888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</w:tr>
    </w:tbl>
    <w:p w14:paraId="03E535CF" w14:textId="6600B36A"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21F10A40" w14:textId="77777777" w:rsidTr="00653BD8">
        <w:trPr>
          <w:cantSplit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43F826B0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DOPEŁNIAJĄCE</w:t>
            </w:r>
          </w:p>
        </w:tc>
      </w:tr>
      <w:tr w:rsidR="0099024F" w:rsidRPr="0099024F" w14:paraId="77D1312D" w14:textId="77777777" w:rsidTr="00653BD8">
        <w:trPr>
          <w:cantSplit/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37230A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565E398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53BD8" w:rsidRPr="0099024F" w14:paraId="4EBE3FC7" w14:textId="77777777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14:paraId="2F587C57" w14:textId="31D775F7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70A6EC25" w14:textId="6D0CA027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</w:tr>
      <w:tr w:rsidR="00653BD8" w:rsidRPr="0099024F" w14:paraId="531C7876" w14:textId="77777777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14:paraId="73A18457" w14:textId="0C3F221E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65EEFA6" w14:textId="60E35FBE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</w:tr>
      <w:tr w:rsidR="00653BD8" w:rsidRPr="0099024F" w14:paraId="47396D5C" w14:textId="77777777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14:paraId="064639D0" w14:textId="0DDCD9D6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24861A" w14:textId="6C9DAA1A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C825A0" w:rsidRPr="0099024F" w14:paraId="1A24B63C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01253B11" w14:textId="3E693B86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twierdzenia o logarytmie iloczynu, ilorazu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i potęgi do udowadniania równości wyrażeń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57AA16" w14:textId="3FA00565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udowodnić twierdzenia o logarytmach</w:t>
            </w:r>
          </w:p>
        </w:tc>
      </w:tr>
      <w:tr w:rsidR="00C825A0" w:rsidRPr="0099024F" w14:paraId="567442BF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0D6FC92B" w14:textId="78FBDD1D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853CA5" w14:textId="715E912D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własności funkcji logarytmicznej do rozwiązywania zadań z parametrem</w:t>
            </w:r>
          </w:p>
        </w:tc>
      </w:tr>
      <w:tr w:rsidR="00C825A0" w:rsidRPr="0099024F" w14:paraId="051D63E0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45316F71" w14:textId="53F45E10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8D2050" w14:textId="76B9DFED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funkcję logarytmiczną do rozwiązywania zadań, o podwyższonym stopniu trudności, osadzonych w kontekście praktycznym</w:t>
            </w:r>
          </w:p>
        </w:tc>
      </w:tr>
      <w:tr w:rsidR="00C825A0" w:rsidRPr="0099024F" w14:paraId="0352729D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538D2E70" w14:textId="29D78322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3B6304" w14:textId="4BCE82BF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logarytmicznych</w:t>
            </w:r>
          </w:p>
        </w:tc>
      </w:tr>
      <w:tr w:rsidR="00C825A0" w:rsidRPr="0099024F" w14:paraId="57BBC491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0D03A291" w14:textId="4C7AB998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logarytmicznych z wartością bezwzględną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804AA0" w14:textId="6F34FD15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[podwyższonym stopniu trudności stosując własności funkcji logarytmicznych oraz poznane twierdzenia</w:t>
            </w:r>
          </w:p>
        </w:tc>
      </w:tr>
      <w:tr w:rsidR="00C825A0" w:rsidRPr="0099024F" w14:paraId="4AF2E73B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5970C12C" w14:textId="7024401E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AF8E4C" w14:textId="39BCACF8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</w:tr>
      <w:tr w:rsidR="00C825A0" w:rsidRPr="0099024F" w14:paraId="1498EA61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639D924E" w14:textId="1644797E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2AC4E" w14:textId="5BF5909E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naszkicować zbiór punktów płaszczyzny spełniających dane równanie lub nierówność z dwiema niewiadomymi, w których występują logarytmy</w:t>
            </w:r>
          </w:p>
        </w:tc>
      </w:tr>
    </w:tbl>
    <w:p w14:paraId="43EFDFF8" w14:textId="16F0B912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99024F" w:rsidRPr="0099024F" w14:paraId="7D5AE4C8" w14:textId="77777777" w:rsidTr="00653BD8">
        <w:tc>
          <w:tcPr>
            <w:tcW w:w="0" w:type="auto"/>
            <w:shd w:val="clear" w:color="000000" w:fill="000000"/>
            <w:vAlign w:val="center"/>
            <w:hideMark/>
          </w:tcPr>
          <w:p w14:paraId="0BBA18ED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14:paraId="7B2B9E2F" w14:textId="77777777" w:rsidTr="00653BD8">
        <w:tc>
          <w:tcPr>
            <w:tcW w:w="0" w:type="auto"/>
            <w:shd w:val="clear" w:color="000000" w:fill="D6DCE4"/>
            <w:vAlign w:val="center"/>
            <w:hideMark/>
          </w:tcPr>
          <w:p w14:paraId="2307BE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AE6950" w:rsidRPr="0099024F" w14:paraId="33E9B982" w14:textId="77777777" w:rsidTr="008967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3606403" w14:textId="541CCE5F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pojęcie logarytmu w zadaniach praktycznych.</w:t>
            </w:r>
          </w:p>
        </w:tc>
      </w:tr>
      <w:tr w:rsidR="00AE6950" w:rsidRPr="0099024F" w14:paraId="02C9CDFE" w14:textId="77777777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AA7CF56" w14:textId="7025E42E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  <w:tr w:rsidR="00AE6950" w:rsidRPr="0099024F" w14:paraId="0E629B1E" w14:textId="77777777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ECAE" w14:textId="08447B89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AE6950" w:rsidRPr="0099024F" w14:paraId="2E283245" w14:textId="77777777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673" w14:textId="0F6286B8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udowodnić niewymierność logarytmu (np. lo</w:t>
            </w:r>
            <w:r w:rsidR="00C825A0">
              <w:rPr>
                <w:rFonts w:ascii="Calibri" w:hAnsi="Calibri" w:cs="Calibri"/>
                <w:sz w:val="20"/>
                <w:szCs w:val="20"/>
              </w:rPr>
              <w:t>g</w:t>
            </w:r>
            <w:r w:rsidRPr="00C825A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AE6950" w:rsidRPr="0099024F" w14:paraId="285BDEC2" w14:textId="77777777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5A1D" w14:textId="6A87841F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</w:tbl>
    <w:p w14:paraId="2BF8B517" w14:textId="6BE489E0" w:rsidR="0099024F" w:rsidRDefault="0099024F">
      <w:pPr>
        <w:rPr>
          <w:b/>
          <w:bCs/>
          <w:color w:val="002060"/>
          <w:sz w:val="20"/>
          <w:szCs w:val="20"/>
        </w:rPr>
      </w:pPr>
    </w:p>
    <w:p w14:paraId="398A56CE" w14:textId="346B8055" w:rsidR="00AE6950" w:rsidRDefault="00AE6950">
      <w:pPr>
        <w:rPr>
          <w:b/>
          <w:bCs/>
          <w:color w:val="002060"/>
          <w:sz w:val="20"/>
          <w:szCs w:val="20"/>
        </w:rPr>
      </w:pPr>
    </w:p>
    <w:p w14:paraId="1B26F9F3" w14:textId="5D83CD00" w:rsidR="00174DDB" w:rsidRDefault="00174DDB">
      <w:pPr>
        <w:rPr>
          <w:b/>
          <w:bCs/>
          <w:color w:val="002060"/>
          <w:sz w:val="20"/>
          <w:szCs w:val="20"/>
        </w:rPr>
      </w:pPr>
    </w:p>
    <w:p w14:paraId="245C72E9" w14:textId="09B11C6E" w:rsidR="00C825A0" w:rsidRDefault="00C825A0">
      <w:pPr>
        <w:rPr>
          <w:b/>
          <w:bCs/>
          <w:color w:val="002060"/>
          <w:sz w:val="20"/>
          <w:szCs w:val="20"/>
        </w:rPr>
      </w:pPr>
    </w:p>
    <w:p w14:paraId="6A9C5BE2" w14:textId="0B7DE896" w:rsidR="00C825A0" w:rsidRDefault="00C825A0">
      <w:pPr>
        <w:rPr>
          <w:b/>
          <w:bCs/>
          <w:color w:val="002060"/>
          <w:sz w:val="20"/>
          <w:szCs w:val="20"/>
        </w:rPr>
      </w:pPr>
    </w:p>
    <w:p w14:paraId="78508327" w14:textId="43C46601" w:rsidR="00C825A0" w:rsidRDefault="00C825A0">
      <w:pPr>
        <w:rPr>
          <w:b/>
          <w:bCs/>
          <w:color w:val="002060"/>
          <w:sz w:val="20"/>
          <w:szCs w:val="20"/>
        </w:rPr>
      </w:pPr>
    </w:p>
    <w:p w14:paraId="608A117F" w14:textId="2BCE2CE0" w:rsidR="00C825A0" w:rsidRDefault="00C825A0">
      <w:pPr>
        <w:rPr>
          <w:b/>
          <w:bCs/>
          <w:color w:val="002060"/>
          <w:sz w:val="20"/>
          <w:szCs w:val="20"/>
        </w:rPr>
      </w:pPr>
    </w:p>
    <w:p w14:paraId="1F9C4AE5" w14:textId="695CBD9C" w:rsidR="00C825A0" w:rsidRDefault="00C825A0">
      <w:pPr>
        <w:rPr>
          <w:b/>
          <w:bCs/>
          <w:color w:val="002060"/>
          <w:sz w:val="20"/>
          <w:szCs w:val="20"/>
        </w:rPr>
      </w:pPr>
    </w:p>
    <w:p w14:paraId="25E2F44C" w14:textId="0EC2CD4C" w:rsidR="00C825A0" w:rsidRDefault="00C825A0">
      <w:pPr>
        <w:rPr>
          <w:b/>
          <w:bCs/>
          <w:color w:val="002060"/>
          <w:sz w:val="20"/>
          <w:szCs w:val="20"/>
        </w:rPr>
      </w:pPr>
    </w:p>
    <w:p w14:paraId="624A8D3C" w14:textId="77777777" w:rsidR="00C825A0" w:rsidRDefault="00C825A0">
      <w:pPr>
        <w:rPr>
          <w:b/>
          <w:bCs/>
          <w:color w:val="002060"/>
          <w:sz w:val="20"/>
          <w:szCs w:val="20"/>
        </w:rPr>
      </w:pPr>
    </w:p>
    <w:p w14:paraId="60E5D763" w14:textId="6C84CB07" w:rsidR="00C825A0" w:rsidRDefault="00C825A0">
      <w:pPr>
        <w:rPr>
          <w:b/>
          <w:bCs/>
          <w:color w:val="002060"/>
          <w:sz w:val="20"/>
          <w:szCs w:val="20"/>
        </w:rPr>
      </w:pPr>
    </w:p>
    <w:p w14:paraId="3D6DB21F" w14:textId="34571C5D" w:rsidR="00C825A0" w:rsidRDefault="00C825A0">
      <w:pPr>
        <w:rPr>
          <w:b/>
          <w:bCs/>
          <w:color w:val="002060"/>
          <w:sz w:val="20"/>
          <w:szCs w:val="20"/>
        </w:rPr>
      </w:pPr>
    </w:p>
    <w:p w14:paraId="0CE7F21B" w14:textId="77777777" w:rsidR="00C825A0" w:rsidRDefault="00C825A0">
      <w:pPr>
        <w:rPr>
          <w:b/>
          <w:bCs/>
          <w:color w:val="002060"/>
          <w:sz w:val="20"/>
          <w:szCs w:val="20"/>
        </w:rPr>
      </w:pPr>
    </w:p>
    <w:p w14:paraId="6CA2C87D" w14:textId="77777777" w:rsidR="00AE6950" w:rsidRDefault="00AE6950">
      <w:pPr>
        <w:rPr>
          <w:b/>
          <w:bCs/>
          <w:color w:val="002060"/>
          <w:sz w:val="20"/>
          <w:szCs w:val="20"/>
        </w:rPr>
      </w:pPr>
    </w:p>
    <w:p w14:paraId="0FF7FB4F" w14:textId="7277EF09" w:rsidR="001F0EA5" w:rsidRPr="0051162B" w:rsidRDefault="00AE695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ELEMENTY STATYSTYKI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712431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B76D9C4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198D26B2" w14:textId="759B68DA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Sposoby prezentowania danych zebranych w wyniku obserwacji statystycznej</w:t>
            </w:r>
          </w:p>
        </w:tc>
      </w:tr>
      <w:tr w:rsidR="00026E45" w:rsidRPr="006E7D5D" w14:paraId="10B7FB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A5C889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D0B2C86" w14:textId="6564A821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Średnia z próby</w:t>
            </w:r>
          </w:p>
        </w:tc>
      </w:tr>
      <w:tr w:rsidR="00026E45" w:rsidRPr="006E7D5D" w14:paraId="3CC9454A" w14:textId="77777777" w:rsidTr="009C754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D2AE54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1AAB406" w14:textId="1D013BED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Mediana z próby i moda z próby. Skala centylowa</w:t>
            </w:r>
          </w:p>
        </w:tc>
      </w:tr>
      <w:tr w:rsidR="00026E45" w:rsidRPr="006E7D5D" w14:paraId="3CFF5B9E" w14:textId="77777777" w:rsidTr="009C754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73EC2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A370D20" w14:textId="5AAC72FB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Wariancja i odchylenie standardowe</w:t>
            </w:r>
          </w:p>
        </w:tc>
      </w:tr>
    </w:tbl>
    <w:p w14:paraId="3CE40C49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7EB362A" w14:textId="77777777"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74616A13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316ED5CE" w14:textId="77777777" w:rsidTr="00AE6950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BD5BAD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14:paraId="04B35B06" w14:textId="77777777" w:rsidTr="00AE6950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0CFCA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466593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AE6950" w:rsidRPr="0099024F" w14:paraId="2C0FAF8E" w14:textId="77777777" w:rsidTr="00AE6950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A582" w14:textId="2E650F0A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305496"/>
                <w:sz w:val="20"/>
                <w:szCs w:val="20"/>
              </w:rPr>
              <w:t>zna podstawowe pojęcia statystyki opisowej: obserwacja statystyczna, populacja generalna, próba, liczebność próby, cecha statystyczna (mierzalna, niemierzalna)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57A1" w14:textId="0069B676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</w:t>
            </w:r>
            <w:r w:rsidR="002148F1">
              <w:rPr>
                <w:rFonts w:ascii="Calibri" w:eastAsia="Symbol" w:hAnsi="Calibri" w:cs="Symbol"/>
                <w:color w:val="00B050"/>
                <w:sz w:val="20"/>
                <w:szCs w:val="20"/>
              </w:rPr>
              <w:t>r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etować dane statystyczne odczytane z tabel, diagramów i wykresów</w:t>
            </w:r>
          </w:p>
        </w:tc>
      </w:tr>
      <w:tr w:rsidR="00AE6950" w:rsidRPr="0099024F" w14:paraId="53FCD719" w14:textId="77777777" w:rsidTr="009C7545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E9BFF" w14:textId="61BCFAFC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skali centylowej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756E" w14:textId="29F58B69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określać zależności między odczytanymi danymi;</w:t>
            </w:r>
          </w:p>
        </w:tc>
      </w:tr>
      <w:tr w:rsidR="00AE6950" w:rsidRPr="0099024F" w14:paraId="3615D66B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C7A1" w14:textId="0B3771B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rozumie pojęcie średniej arytmetycznej, średniej ważonej, 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wariancji i odchylenia standardowego,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3464" w14:textId="1F80CBB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interpretować średnią arytmetyczną, średnią ważoną, medianę </w:t>
            </w:r>
            <w:r w:rsidRPr="009C7545">
              <w:rPr>
                <w:rFonts w:ascii="Calibri" w:eastAsia="Symbol" w:hAnsi="Calibri" w:cs="Symbol"/>
                <w:color w:val="00B050"/>
                <w:sz w:val="20"/>
                <w:szCs w:val="20"/>
                <w:shd w:val="clear" w:color="auto" w:fill="D9D9D9" w:themeFill="background1" w:themeFillShade="D9"/>
              </w:rPr>
              <w:t>i odchylenie standardowe</w:t>
            </w:r>
          </w:p>
        </w:tc>
      </w:tr>
      <w:tr w:rsidR="00AE6950" w:rsidRPr="0099024F" w14:paraId="2EDE9309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8489" w14:textId="748A4942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odczytywać dane statystyczne z tabel, diagramów</w:t>
            </w:r>
            <w:r w:rsidR="002148F1">
              <w:rPr>
                <w:rFonts w:ascii="Calibri" w:eastAsia="Symbol" w:hAnsi="Calibri" w:cs="Symbol"/>
                <w:color w:val="305496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i wykresów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86A" w14:textId="365FB78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średnią arytmetyczną</w:t>
            </w:r>
          </w:p>
        </w:tc>
      </w:tr>
      <w:tr w:rsidR="00AE6950" w:rsidRPr="0099024F" w14:paraId="4DFA2AF9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82BC" w14:textId="111086AB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przedstawiać dane empiryczne w postaci tabel, diagramów i wykresów;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1E31" w14:textId="420B12AE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medianę i dominantę</w:t>
            </w:r>
          </w:p>
        </w:tc>
      </w:tr>
      <w:tr w:rsidR="00AE6950" w:rsidRPr="0099024F" w14:paraId="3D9CA61E" w14:textId="77777777" w:rsidTr="009C7545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5EE3" w14:textId="3DD87EC5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interpretować wymienione wyżej parametry statystyczne.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E86F" w14:textId="35841213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korzystać ze skali centylowej</w:t>
            </w:r>
          </w:p>
        </w:tc>
      </w:tr>
      <w:tr w:rsidR="00AE6950" w:rsidRPr="0099024F" w14:paraId="7F923F1C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A4CA" w14:textId="26B639D2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policzyć średnią arytmetyczną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B5B1" w14:textId="37D4FBBD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danych przedstawionych diagramami</w:t>
            </w:r>
          </w:p>
        </w:tc>
      </w:tr>
      <w:tr w:rsidR="00AE6950" w:rsidRPr="0099024F" w14:paraId="25DB1227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0005" w14:textId="00CA6252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medianę i dominantę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9A8F" w14:textId="6F2AA36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pogrupowanych danych</w:t>
            </w:r>
          </w:p>
        </w:tc>
      </w:tr>
      <w:tr w:rsidR="00AE6950" w:rsidRPr="0099024F" w14:paraId="21677149" w14:textId="77777777" w:rsidTr="009C7545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43077" w14:textId="51CB886D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wariancję i odchylenie standardowe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43E51" w14:textId="083D9318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 wariancję i odchylenie standardowe zestawu danych przedstawionych różnymi sposobami</w:t>
            </w:r>
          </w:p>
        </w:tc>
      </w:tr>
      <w:tr w:rsidR="00AE6950" w:rsidRPr="0099024F" w14:paraId="2540BB44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B86A" w14:textId="3D40BCDC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średnią ważoną zestawu liczb z podanymi wagami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8B81" w14:textId="29BACADD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 zadaniach średnią ważoną</w:t>
            </w:r>
          </w:p>
        </w:tc>
      </w:tr>
    </w:tbl>
    <w:p w14:paraId="2F7D4A5E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518E4D6A" w14:textId="77777777" w:rsidTr="002148F1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72416360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14:paraId="01FC7F82" w14:textId="77777777" w:rsidTr="002148F1">
        <w:trPr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5B3CB8F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438FE2CC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148F1" w:rsidRPr="008516A6" w14:paraId="5867D6E9" w14:textId="77777777" w:rsidTr="002148F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5812" w14:textId="24601290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ze statystyki opisowej o średnim stopniu trudności.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D12" w14:textId="14B4D58A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ze statystyki w różnych nietypowych zadaniach zadaniach</w:t>
            </w:r>
          </w:p>
        </w:tc>
      </w:tr>
      <w:tr w:rsidR="002148F1" w:rsidRPr="008516A6" w14:paraId="4F6297D5" w14:textId="77777777" w:rsidTr="002148F1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8DBA" w14:textId="273BDBBA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oblicza średnią arytmetyczną danych przedstawionych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niestandardowy sposób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CD52" w14:textId="18261503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 zadaniach o podwyższonym stopniu trudności pojęcia statystyczne</w:t>
            </w:r>
          </w:p>
        </w:tc>
      </w:tr>
      <w:tr w:rsidR="002148F1" w:rsidRPr="008516A6" w14:paraId="3F1705C5" w14:textId="77777777" w:rsidTr="009C754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7A671" w14:textId="48335680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odchylenie standardowe i wariancję danych przedstawionych w niestandardowy sposób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EB48" w14:textId="374909A8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2148F1" w:rsidRPr="008516A6" w14:paraId="34500AD9" w14:textId="77777777" w:rsidTr="002148F1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0D0" w14:textId="2208CAEF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bookmarkStart w:id="3" w:name="_Hlk176265472"/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 xml:space="preserve">rozwiązuje nietypowe zadania w których występuje średnia </w:t>
            </w:r>
            <w:bookmarkEnd w:id="3"/>
            <w:r>
              <w:rPr>
                <w:rFonts w:ascii="Calibri" w:hAnsi="Calibri" w:cs="Calibri"/>
                <w:color w:val="C65911"/>
                <w:sz w:val="20"/>
                <w:szCs w:val="20"/>
              </w:rPr>
              <w:t>ważona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F0998" w14:textId="77777777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2148F1" w:rsidRPr="008516A6" w14:paraId="0EC59C08" w14:textId="77777777" w:rsidTr="009C754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411A" w14:textId="4C6A665E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dane statystyczne, ze szczególnym uwzględnieniem miar rozrzutu oraz skali centylowej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5444" w14:textId="77777777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0E842B89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p w14:paraId="5589B083" w14:textId="28E5FE97" w:rsidR="0099024F" w:rsidRDefault="0099024F">
      <w:pPr>
        <w:rPr>
          <w:b/>
          <w:bCs/>
          <w:color w:val="002060"/>
          <w:sz w:val="20"/>
          <w:szCs w:val="20"/>
        </w:rPr>
      </w:pPr>
    </w:p>
    <w:p w14:paraId="1A64A38D" w14:textId="21E310A5" w:rsidR="002148F1" w:rsidRDefault="002148F1">
      <w:pPr>
        <w:rPr>
          <w:b/>
          <w:bCs/>
          <w:color w:val="002060"/>
          <w:sz w:val="20"/>
          <w:szCs w:val="20"/>
        </w:rPr>
      </w:pPr>
    </w:p>
    <w:p w14:paraId="6C0BD1B8" w14:textId="42AAAD9E" w:rsidR="003443E8" w:rsidRPr="0051162B" w:rsidRDefault="002148F1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RACHUNEK PRAWDOPODOBIEŃSTWA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FC0603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C795DB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770D9956" w14:textId="68617F37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</w:t>
            </w:r>
          </w:p>
        </w:tc>
      </w:tr>
      <w:tr w:rsidR="00026E45" w:rsidRPr="006E7D5D" w14:paraId="07B5747D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3908D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115ADB3" w14:textId="34BFE6E4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Zdarzenia. Działania na zdarzeniach</w:t>
            </w:r>
          </w:p>
        </w:tc>
      </w:tr>
      <w:tr w:rsidR="00026E45" w:rsidRPr="006E7D5D" w14:paraId="0E1F99E6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57428553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E01978C" w14:textId="46058897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prawdopodobieństwa</w:t>
            </w:r>
          </w:p>
        </w:tc>
      </w:tr>
      <w:tr w:rsidR="00026E45" w:rsidRPr="006E7D5D" w14:paraId="52D9573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D5FBD5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0CEF493D" w14:textId="58E8EB9C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Prawdopodobieństwo klasyczne</w:t>
            </w:r>
          </w:p>
        </w:tc>
      </w:tr>
      <w:tr w:rsidR="00026E45" w:rsidRPr="006E7D5D" w14:paraId="55ADD442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6F4B432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24B1D7BB" w14:textId="1C496AA0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 wieloetapowe</w:t>
            </w:r>
          </w:p>
        </w:tc>
      </w:tr>
      <w:tr w:rsidR="008F5363" w:rsidRPr="003758FA" w14:paraId="5B32EE73" w14:textId="77777777" w:rsidTr="009C754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D24F03" w14:textId="139E8878" w:rsidR="008F5363" w:rsidRDefault="00C825A0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22E0999" w14:textId="7088B1C6" w:rsidR="008F5363" w:rsidRDefault="008F5363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Zmienna losowa. Wartość oczekiwana zmiennej losowej</w:t>
            </w:r>
          </w:p>
        </w:tc>
      </w:tr>
    </w:tbl>
    <w:p w14:paraId="101348B0" w14:textId="77777777"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51FA72C" w14:textId="77777777"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4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4"/>
    <w:p w14:paraId="10B2013A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49DB15F1" w14:textId="77777777" w:rsidTr="008F5363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11DC41F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516A6" w:rsidRPr="008516A6" w14:paraId="5035F049" w14:textId="77777777" w:rsidTr="008F5363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E5926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62E1059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C825A0" w:rsidRPr="008516A6" w14:paraId="106F317A" w14:textId="77777777" w:rsidTr="008F536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0513" w14:textId="29983EF9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terminy: doświadczenie losowe, zdarzenie elementarne, przestrzeń zdarzeń elementarnych, zdarzenie, zdarzenie pewne zdarzenie niemożliwe, zdarzenia wykluczające się;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7A99" w14:textId="50B4A55B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sumę, iloczyn i różnicę zdarzeń</w:t>
            </w:r>
          </w:p>
        </w:tc>
      </w:tr>
      <w:tr w:rsidR="00C825A0" w:rsidRPr="008516A6" w14:paraId="1AE9ABCD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CC65" w14:textId="3D38782A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zbiór wszystkich zdarzeń danego doświadczenia losowego, obliczyć jego moc oraz obliczyć liczbę zdarzeń elementarnych sprzyjających danemu zdarzeniu;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0593" w14:textId="3A66B082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prawdopodobieństwie sumy zdarzeń</w:t>
            </w:r>
          </w:p>
        </w:tc>
      </w:tr>
      <w:tr w:rsidR="00C825A0" w:rsidRPr="008516A6" w14:paraId="25753560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9152" w14:textId="108E4F7C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zdarzenia niemożliwego i pewnego; potrafi podać przykłady takich zdarzeń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B2F5" w14:textId="3E8BFCDF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zdarzenia się wykluczają</w:t>
            </w:r>
          </w:p>
        </w:tc>
      </w:tr>
      <w:tr w:rsidR="00C825A0" w:rsidRPr="008516A6" w14:paraId="56B54304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6B95" w14:textId="1B70D30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klasyczną definicję prawdopodobieństwa w rozwiązaniach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0672" w14:textId="525C691E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własności prawdopodobieństwa i umie je stosować w rozwiązaniach prostych zadań;</w:t>
            </w:r>
          </w:p>
        </w:tc>
      </w:tr>
      <w:tr w:rsidR="00C825A0" w:rsidRPr="008516A6" w14:paraId="1BA8E5F6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D72F" w14:textId="3E3978DE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aksjomatyczną definicję prawdopodobieństwa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DAAC" w14:textId="3DDEB5BD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proste zadania za pomocą drzewa stochastycznego;</w:t>
            </w:r>
          </w:p>
        </w:tc>
      </w:tr>
      <w:tr w:rsidR="00C825A0" w:rsidRPr="008516A6" w14:paraId="21BE40C8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C0F2" w14:textId="23EEEC61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obliczyć prawdopodobieństwo zdarzenia przeciwnego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CEB2" w14:textId="0B576723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regułę mnożenia, dodawania, permutacje i kombinacje do obliczania pra</w:t>
            </w:r>
            <w:r w:rsidR="00C0516D">
              <w:rPr>
                <w:rFonts w:ascii="Calibri" w:hAnsi="Calibri" w:cs="Calibri"/>
                <w:color w:val="00B05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dopodobieństwa zdarzeń w prostych zadaniach</w:t>
            </w:r>
          </w:p>
        </w:tc>
      </w:tr>
      <w:tr w:rsidR="00C825A0" w:rsidRPr="008516A6" w14:paraId="3D30E719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0263" w14:textId="2E245204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pary zdarzeń przeciwnych i wykluczających się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5F9E" w14:textId="426B2C0F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podać rozkład zmiennej losowej</w:t>
            </w:r>
          </w:p>
        </w:tc>
      </w:tr>
    </w:tbl>
    <w:p w14:paraId="2951F106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5326"/>
      </w:tblGrid>
      <w:tr w:rsidR="00A93E20" w:rsidRPr="00A93E20" w14:paraId="1ED15D1C" w14:textId="77777777" w:rsidTr="00543793">
        <w:trPr>
          <w:cantSplit/>
          <w:trHeight w:val="300"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0BDFABE0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62204C9B" w14:textId="77777777" w:rsidTr="00543793">
        <w:trPr>
          <w:cantSplit/>
          <w:trHeight w:val="300"/>
          <w:tblHeader/>
        </w:trPr>
        <w:tc>
          <w:tcPr>
            <w:tcW w:w="5447" w:type="dxa"/>
            <w:shd w:val="clear" w:color="000000" w:fill="FFC000"/>
            <w:vAlign w:val="center"/>
            <w:hideMark/>
          </w:tcPr>
          <w:p w14:paraId="60EDBF8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26" w:type="dxa"/>
            <w:shd w:val="clear" w:color="000000" w:fill="FF0000"/>
            <w:vAlign w:val="center"/>
            <w:hideMark/>
          </w:tcPr>
          <w:p w14:paraId="1BD8AAE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C7D4B" w:rsidRPr="00A93E20" w14:paraId="225D5AA3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278" w14:textId="3B19C632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umie udowodnić własności prawdopodobieństwa;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F83E" w14:textId="66D543D4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własności prawdopodobieństwa w dowodach twierdzeń</w:t>
            </w:r>
          </w:p>
        </w:tc>
      </w:tr>
      <w:tr w:rsidR="006C7D4B" w:rsidRPr="00A93E20" w14:paraId="725D3F8E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5DEB" w14:textId="1E9809CA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umie stosować własności prawdopodobieństwa do rozwiązywania zadań „teoretycznych”;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D7BD" w14:textId="37AFCBAD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prawdopodobieńs</w:t>
            </w:r>
            <w:r w:rsidR="00A92081">
              <w:rPr>
                <w:rFonts w:ascii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wo w doświadczeniach wieloetapowych</w:t>
            </w:r>
          </w:p>
        </w:tc>
      </w:tr>
      <w:tr w:rsidR="006C7D4B" w:rsidRPr="00A93E20" w14:paraId="00FA27DF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276B" w14:textId="583ADF64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rachunku prawd</w:t>
            </w:r>
            <w:r w:rsidR="00A92081">
              <w:rPr>
                <w:rFonts w:ascii="Calibri" w:hAnsi="Calibri" w:cs="Calibri"/>
                <w:color w:val="C65911"/>
                <w:sz w:val="20"/>
                <w:szCs w:val="20"/>
              </w:rPr>
              <w:t>opodo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bieństwa o średnim stopniu trudności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12E1" w14:textId="4320262F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z rachunku prawdopodobieństwa o podwyższonym stopniu trudności</w:t>
            </w:r>
          </w:p>
        </w:tc>
      </w:tr>
      <w:tr w:rsidR="006C7D4B" w:rsidRPr="00A93E20" w14:paraId="340ADDA6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F247" w14:textId="57CE7A6F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 xml:space="preserve">Wykorzystuje regułę mnożenia, dodawania, permutacje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i kombinacje do obliczania pra</w:t>
            </w:r>
            <w:r w:rsidR="00A92081">
              <w:rPr>
                <w:rFonts w:ascii="Calibri" w:hAnsi="Calibri" w:cs="Calibri"/>
                <w:color w:val="C6591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dopodobieństwa zdarzeń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zadaniach o średnim stopniu trudności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5880" w14:textId="38B2E9F1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wykorzystujące własności prawdopodobieństwa i poznane wzory</w:t>
            </w:r>
          </w:p>
        </w:tc>
      </w:tr>
      <w:tr w:rsidR="006C7D4B" w:rsidRPr="00A93E20" w14:paraId="4F9780A6" w14:textId="77777777" w:rsidTr="009C7545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AE599" w14:textId="42C58397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wartość oczekiwaną zmiennej losowej i potrafi określić, czy gra jest sprawiedliwa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1903" w14:textId="1A3BDFBB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2ED603C" w14:textId="77777777" w:rsidR="006C7D4B" w:rsidRDefault="006C7D4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2148F1" w:rsidRPr="008516A6" w14:paraId="7B4D9B8A" w14:textId="77777777" w:rsidTr="00CA317C">
        <w:trPr>
          <w:cantSplit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14:paraId="4D6A1FAA" w14:textId="77777777" w:rsidR="002148F1" w:rsidRPr="008516A6" w:rsidRDefault="002148F1" w:rsidP="0089676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2148F1" w:rsidRPr="008516A6" w14:paraId="353D0CCA" w14:textId="77777777" w:rsidTr="00CA317C">
        <w:trPr>
          <w:cantSplit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14:paraId="6B54F4B7" w14:textId="77777777" w:rsidR="002148F1" w:rsidRPr="008516A6" w:rsidRDefault="002148F1" w:rsidP="0089676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6C7D4B" w:rsidRPr="008516A6" w14:paraId="2F5E36D5" w14:textId="77777777" w:rsidTr="0089676D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620D" w14:textId="27AAA436" w:rsidR="006C7D4B" w:rsidRPr="008516A6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nietypowe zadania dotyczące kombinatoryki i rachunku prawdopodobieństwa.</w:t>
            </w:r>
          </w:p>
        </w:tc>
      </w:tr>
    </w:tbl>
    <w:p w14:paraId="791E5E40" w14:textId="1D12A853" w:rsidR="002148F1" w:rsidRDefault="002148F1">
      <w:pPr>
        <w:rPr>
          <w:b/>
          <w:bCs/>
          <w:color w:val="002060"/>
          <w:sz w:val="20"/>
          <w:szCs w:val="20"/>
        </w:rPr>
      </w:pPr>
    </w:p>
    <w:p w14:paraId="26DEA6FD" w14:textId="73F34DA0" w:rsidR="0026264C" w:rsidRPr="0051162B" w:rsidRDefault="00A93E2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GEOMETRIA </w:t>
      </w:r>
      <w:r w:rsidR="00CA317C">
        <w:rPr>
          <w:b/>
          <w:bCs/>
          <w:color w:val="002060"/>
          <w:sz w:val="28"/>
          <w:szCs w:val="28"/>
        </w:rPr>
        <w:t>PRZESTRZENNA. WIELOŚCIANY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11EF96C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42A2D1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211085F4" w14:textId="2CFB18AF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Płaszczyzny i proste w przestrzeni. Równoległość prostych i płaszczyzn. Proste skośne.</w:t>
            </w:r>
          </w:p>
        </w:tc>
      </w:tr>
      <w:tr w:rsidR="00026E45" w:rsidRPr="006E7D5D" w14:paraId="74A379A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F77AEBA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D76E107" w14:textId="38295ADB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Prostopadłość prostych i płaszczyzn w przestrzeni.</w:t>
            </w:r>
          </w:p>
        </w:tc>
      </w:tr>
      <w:tr w:rsidR="00026E45" w:rsidRPr="006E7D5D" w14:paraId="09C25B7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E7EA04F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AD8C9CC" w14:textId="0E3B4B23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Rzut równoległy na płaszczyznę. Rysowanie figur płaskich w rzucie równoległym na płaszczyznę</w:t>
            </w:r>
          </w:p>
        </w:tc>
      </w:tr>
      <w:tr w:rsidR="00026E45" w:rsidRPr="006E7D5D" w14:paraId="38F25E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03AF112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703EEC0B" w14:textId="57BF87EA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Kąt między prostą a płaszczyzną. Kąt dwuścienny.</w:t>
            </w:r>
          </w:p>
        </w:tc>
      </w:tr>
      <w:tr w:rsidR="00026E45" w:rsidRPr="006E7D5D" w14:paraId="14A6E88C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512E5A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0100BEDE" w14:textId="54BC6FE2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Graniastosłupy</w:t>
            </w:r>
          </w:p>
        </w:tc>
      </w:tr>
      <w:tr w:rsidR="00026E45" w:rsidRPr="006E7D5D" w14:paraId="74B8BC7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DC516FB" w14:textId="6E2347A5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1D0F72ED" w14:textId="70C80664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Ostrosłupy</w:t>
            </w:r>
          </w:p>
        </w:tc>
      </w:tr>
      <w:tr w:rsidR="00CA317C" w:rsidRPr="006E7D5D" w14:paraId="413170FA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DA8F6D8" w14:textId="20C7F8DE" w:rsidR="00CA317C" w:rsidRDefault="00CA317C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76129029" w14:textId="5B5638A4" w:rsidR="00CA317C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Siatka wielościanu. Pole powierzchni wielościanu</w:t>
            </w:r>
          </w:p>
        </w:tc>
      </w:tr>
      <w:tr w:rsidR="009102D5" w:rsidRPr="006E7D5D" w14:paraId="54573B2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69AEF85" w14:textId="31848EE6" w:rsidR="009102D5" w:rsidRDefault="009102D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20E38AF9" w14:textId="3A7C5951" w:rsidR="009102D5" w:rsidRDefault="009102D5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Objętość figury przestrzennej. Objętość wielościanów</w:t>
            </w:r>
          </w:p>
        </w:tc>
      </w:tr>
      <w:tr w:rsidR="009102D5" w:rsidRPr="006E7D5D" w14:paraId="6BBA3D68" w14:textId="77777777" w:rsidTr="009C754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385CF4" w14:textId="62D2BCCF" w:rsidR="009102D5" w:rsidRDefault="009102D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B529F68" w14:textId="5D8A94D1" w:rsidR="009102D5" w:rsidRDefault="009102D5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Przekroje wielościanów</w:t>
            </w:r>
          </w:p>
        </w:tc>
      </w:tr>
    </w:tbl>
    <w:p w14:paraId="6234088B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01389EFE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BA8081C" w14:textId="77777777"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551BAF94" w14:textId="77777777" w:rsidTr="009102D5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0EAA72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3E20" w:rsidRPr="00A93E20" w14:paraId="5386DC16" w14:textId="77777777" w:rsidTr="009102D5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2B98E2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94E0F4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102D5" w:rsidRPr="00A93E20" w14:paraId="50FABB95" w14:textId="77777777" w:rsidTr="009102D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241C" w14:textId="1333D15F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płaszczyzn w 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4A7F" w14:textId="3D6D7E0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istnieje graniastosłup o danej liczbie krawędzi</w:t>
            </w:r>
          </w:p>
        </w:tc>
      </w:tr>
      <w:tr w:rsidR="009102D5" w:rsidRPr="00A93E20" w14:paraId="21D948C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2DFA" w14:textId="0FA6F5E3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prostej i płaszczyzny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AA68" w14:textId="4A56942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bocznej i pole powierzchni całkowitej graniastosłupa prostego oraz ostrosłupa</w:t>
            </w:r>
          </w:p>
        </w:tc>
      </w:tr>
      <w:tr w:rsidR="009102D5" w:rsidRPr="00A93E20" w14:paraId="03593A5D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AA79" w14:textId="7577CAAB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prostych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B5ED" w14:textId="5BF38349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graniastosłupa oraz ostrosłupa</w:t>
            </w:r>
          </w:p>
        </w:tc>
      </w:tr>
      <w:tr w:rsidR="009102D5" w:rsidRPr="00A93E20" w14:paraId="6C476A63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BF9B" w14:textId="401EB7A3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rysuje figury płaskie w rzucie równoległym na płaszczyznę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4B2A" w14:textId="3F91315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oblicza długości przekątnych graniastosłupa prostego również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z wykorzystaniem wcześniej poznanych twierdzeń z planimetrii oraz trygonometrii</w:t>
            </w:r>
          </w:p>
        </w:tc>
      </w:tr>
      <w:tr w:rsidR="009102D5" w:rsidRPr="00A93E20" w14:paraId="7B70C8DC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59E5" w14:textId="45F3DD1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prostej i 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5877" w14:textId="7B68A95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prostego oraz ostrosłupa prawidłowego</w:t>
            </w:r>
          </w:p>
        </w:tc>
      </w:tr>
      <w:tr w:rsidR="009102D5" w:rsidRPr="00A93E20" w14:paraId="1D30BA4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94E3" w14:textId="37748774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dwóch płaszczyzn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90C6" w14:textId="318D208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pochyłego</w:t>
            </w:r>
          </w:p>
        </w:tc>
      </w:tr>
      <w:tr w:rsidR="009102D5" w:rsidRPr="00A93E20" w14:paraId="421B562F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C7B3" w14:textId="0C7D426A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odległości punktu od płaszczyzny oraz odległości prostej równoległej do płaszczyzny od tej 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7AE" w14:textId="37BB42C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ostrosłupa mając daną jego siatkę</w:t>
            </w:r>
          </w:p>
        </w:tc>
      </w:tr>
      <w:tr w:rsidR="009102D5" w:rsidRPr="00A93E20" w14:paraId="527A2034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16DA" w14:textId="3C6984BF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zna i potrafi stosować twierdzenie o trzech prostych prostopadłych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7181" w14:textId="307F349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rozpoznać w graniastosłupach i ostrosłupach kąt między ścianami oraz obliczyć miarę tego kąta;</w:t>
            </w:r>
          </w:p>
        </w:tc>
      </w:tr>
      <w:tr w:rsidR="009102D5" w:rsidRPr="00A93E20" w14:paraId="5C2A0BB3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4987" w14:textId="1B10580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rozumie pojęcie kąta między prostą a płaszczyzną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8354" w14:textId="5D0CA9C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0C09A424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B83B" w14:textId="37165B9E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kąta dwuściennego, poprawnie posługuje się terminem “kąt liniowy kąta dwuściennego”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7FFA" w14:textId="2912BE2E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676F0CDF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88A" w14:textId="6FC59A2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graniastosłupa; umie wskazać: podstawy, ściany boczne, krawędzie podstaw, krawędzie boczne, wysokość graniastosłupa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8092" w14:textId="347709D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9102D5" w:rsidRPr="00A93E20" w14:paraId="6BC3CD7E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AAD1" w14:textId="0AB6ED1C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EBAC" w14:textId="4CE7A39B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5664455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5AD4" w14:textId="26B30E3C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465D" w14:textId="56C2E6C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3155DA79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FE33" w14:textId="0E1D2051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graniastosłupa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29D" w14:textId="0E6D6EB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73861FB8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C3FD" w14:textId="173DFBB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ostrosłupa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A05F" w14:textId="3FED5D2A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0530CBDF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FFE3" w14:textId="101BE003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ostrosłupa; umie wskazać: podstawę, ściany boczne, krawędzie podstaw, krawędzie boczne, wysokość ostrosłupa;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8C64" w14:textId="186D9F1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7FB34AAB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925F" w14:textId="407C300F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ostrosłupów;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3509" w14:textId="774C83F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3537A85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A766" w14:textId="4D6F96BC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ostrosłupów prostych;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D935" w14:textId="4CF69BD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436780B3" w14:textId="77777777" w:rsidTr="000F2F18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985A" w14:textId="2BC45B85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(np. krawędziami, krawędziami i przekątnymi itp.) oraz obliczyć miary tych kątów;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A9A9" w14:textId="26F7D8CE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0973EC29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9D14" w14:textId="0D45285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FB35" w14:textId="312A1CE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F2F18" w:rsidRPr="00A93E20" w14:paraId="4E333195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89CB" w14:textId="29703C32" w:rsidR="000F2F18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graniastosłupów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1B25" w14:textId="77777777" w:rsidR="000F2F18" w:rsidRDefault="000F2F18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  <w:tr w:rsidR="00955350" w:rsidRPr="00A93E20" w14:paraId="2EC64688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4D63" w14:textId="5947DFF0" w:rsidR="00955350" w:rsidRPr="00955350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ostrosłupów</w:t>
            </w:r>
            <w:r w:rsidR="002D26F1"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w prostych, typowych zadaniach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338" w14:textId="77777777" w:rsidR="00955350" w:rsidRDefault="00955350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</w:tbl>
    <w:p w14:paraId="758A9A54" w14:textId="77777777" w:rsidR="00A93E20" w:rsidRDefault="00A93E2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3CF61D73" w14:textId="77777777" w:rsidTr="009102D5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68AFD7C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1AFB98DB" w14:textId="77777777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D4A00A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00C829E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D26F1" w:rsidRPr="00A93E20" w14:paraId="3BA9CC80" w14:textId="77777777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B88A" w14:textId="2250C7C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przeprowadza wnioskowania dotycząc położenia prostych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5BB4" w14:textId="09A649C0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prostej prostopadłej do płaszczyzny</w:t>
            </w:r>
          </w:p>
        </w:tc>
      </w:tr>
      <w:tr w:rsidR="002D26F1" w:rsidRPr="00A93E20" w14:paraId="376AE407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289B" w14:textId="4B680412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uzasadniania prostopadłości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C7E8" w14:textId="3FF2FF41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graniastosłupa prostego</w:t>
            </w:r>
          </w:p>
        </w:tc>
      </w:tr>
      <w:tr w:rsidR="002D26F1" w:rsidRPr="00A93E20" w14:paraId="29ABB36B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A4BB" w14:textId="39E63DE3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rozwiązywania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58A7" w14:textId="50E0F29F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ostrosłupa</w:t>
            </w:r>
          </w:p>
        </w:tc>
      </w:tr>
      <w:tr w:rsidR="002D26F1" w:rsidRPr="00A93E20" w14:paraId="1244F1C6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E4EA" w14:textId="468CCAE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rozwiązuje zadania dotyczące miar kąta między prostą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a płaszczyzną, również z wykorzystaniem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C511" w14:textId="0E2FB54C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trzech prostych prostopadłych</w:t>
            </w:r>
          </w:p>
        </w:tc>
      </w:tr>
      <w:tr w:rsidR="002D26F1" w:rsidRPr="00A93E20" w14:paraId="27041E1D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45C9" w14:textId="574AD829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miary kąta dwuściennego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00DF" w14:textId="6D537588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14:paraId="3D9CEB07" w14:textId="77777777" w:rsidTr="0089676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13BA" w14:textId="25263A06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 xml:space="preserve">oblicza objętości graniastosłupów oraz ostrosłupów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wykorzystaniem wcześniej poznanych twierdzeń z planimetrii oraz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B492" w14:textId="28E2F462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14:paraId="447BF425" w14:textId="77777777" w:rsidTr="00BA6D2F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A01C" w14:textId="25C629C5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wyznaczać przekroje wielościanów;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5DC" w14:textId="3E3D400F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14:paraId="37DF7B79" w14:textId="77777777" w:rsidTr="00BA6D2F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3BB17" w14:textId="4ECF62F4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graniastosłupa  daną płaszczyzną  (graniastosłupa, ostrosłupa)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3D25" w14:textId="05140CE0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14:paraId="10BC485B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F6A0" w14:textId="44EBCD0D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dotyczące brył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o średnim stopniu trudności, z wykorzystaniem wcześniej poznanych twierdzeń z planimetrii oraz trygonometrii;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411A" w14:textId="176E3435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5CE87083" w14:textId="46779C69" w:rsidR="00476730" w:rsidRDefault="00476730">
      <w:pPr>
        <w:rPr>
          <w:b/>
          <w:bCs/>
          <w:color w:val="002060"/>
          <w:sz w:val="28"/>
          <w:szCs w:val="28"/>
        </w:rPr>
      </w:pPr>
    </w:p>
    <w:p w14:paraId="75B84700" w14:textId="77777777" w:rsidR="00476730" w:rsidRDefault="0047673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476730" w:rsidRPr="00476730" w14:paraId="36CF622E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6A586F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76730" w:rsidRPr="00476730" w14:paraId="22CC7E18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F65FF8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76730" w:rsidRPr="000276E6" w14:paraId="28508F10" w14:textId="77777777" w:rsidTr="009102D5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3B15" w14:textId="68372A0A" w:rsidR="00476730" w:rsidRPr="000276E6" w:rsidRDefault="000276E6" w:rsidP="000276E6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276E6">
              <w:rPr>
                <w:rFonts w:ascii="Calibri" w:hAnsi="Calibri" w:cs="Calibri"/>
                <w:sz w:val="20"/>
                <w:szCs w:val="20"/>
              </w:rPr>
              <w:t>potrafi rozwiązywać nietypowe zadania geometryczne dotyczące brył</w:t>
            </w:r>
          </w:p>
        </w:tc>
      </w:tr>
    </w:tbl>
    <w:p w14:paraId="4FA91E7B" w14:textId="7AEF4658" w:rsidR="00476730" w:rsidRDefault="00476730">
      <w:pPr>
        <w:rPr>
          <w:b/>
          <w:bCs/>
          <w:color w:val="002060"/>
          <w:sz w:val="28"/>
          <w:szCs w:val="28"/>
        </w:rPr>
      </w:pPr>
    </w:p>
    <w:p w14:paraId="57408673" w14:textId="08DF5719" w:rsidR="0026264C" w:rsidRPr="0051162B" w:rsidRDefault="000276E6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PRZESTRZENNA. BRYŁY OBROTOWE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6264C" w:rsidRPr="006E7D5D" w14:paraId="43BCF87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172BF1E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0A1ADDD5" w14:textId="3D359225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Walec</w:t>
            </w:r>
          </w:p>
        </w:tc>
      </w:tr>
      <w:tr w:rsidR="0026264C" w:rsidRPr="006E7D5D" w14:paraId="77AF67E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395B185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60C81A8C" w14:textId="7DCD6351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Stożek</w:t>
            </w:r>
          </w:p>
        </w:tc>
      </w:tr>
      <w:tr w:rsidR="0026264C" w:rsidRPr="006E7D5D" w14:paraId="7A701EC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F317969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480B740E" w14:textId="7FAAB962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Kula i sfera</w:t>
            </w:r>
          </w:p>
        </w:tc>
      </w:tr>
      <w:tr w:rsidR="0026264C" w:rsidRPr="006E7D5D" w14:paraId="27ED9B64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A5A2631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F77F48D" w14:textId="6DA52071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Bryły obrotowe – zadania różne</w:t>
            </w:r>
          </w:p>
        </w:tc>
      </w:tr>
      <w:tr w:rsidR="0026264C" w:rsidRPr="006E7D5D" w14:paraId="7AAA7CF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16F20D2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F4AFBCA" w14:textId="64F61033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</w:t>
            </w:r>
            <w:r w:rsidR="00C95BE5">
              <w:rPr>
                <w:color w:val="002060"/>
                <w:sz w:val="20"/>
                <w:szCs w:val="20"/>
              </w:rPr>
              <w:t>odobieństwo</w:t>
            </w:r>
            <w:r>
              <w:rPr>
                <w:color w:val="002060"/>
                <w:sz w:val="20"/>
                <w:szCs w:val="20"/>
              </w:rPr>
              <w:t xml:space="preserve"> figur w przestrzeni</w:t>
            </w:r>
          </w:p>
        </w:tc>
      </w:tr>
    </w:tbl>
    <w:p w14:paraId="798961C0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26780859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65E51313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48525D" w:rsidRPr="0048525D" w14:paraId="1EA178D3" w14:textId="77777777" w:rsidTr="000D5BA0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3C3A2B72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8525D" w:rsidRPr="0048525D" w14:paraId="42C930E1" w14:textId="77777777" w:rsidTr="000D5BA0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A50A46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87EE2E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D5BA0" w:rsidRPr="0048525D" w14:paraId="1FC5106C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FD3B" w14:textId="1E22A389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A3F1" w14:textId="1022B266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rozwiązywać proste zadania geometryczne dotyczące brył, w tym z wykorzystaniem trygonometrii i poznanych wcześniej twierdzeń z geometrii płaskiej</w:t>
            </w:r>
          </w:p>
        </w:tc>
      </w:tr>
      <w:tr w:rsidR="000D5BA0" w:rsidRPr="0048525D" w14:paraId="4673F272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B7BA" w14:textId="42F6C650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określenie “przekrój osiowy walca”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5920" w14:textId="4AED7ED1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dotyczące rozwinięcia powierzchni bocznej walca oraz powierzchni bocznej stożka</w:t>
            </w:r>
          </w:p>
        </w:tc>
      </w:tr>
      <w:tr w:rsidR="000D5BA0" w:rsidRPr="0048525D" w14:paraId="754D923A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E6BD" w14:textId="1426F0B8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stożka; umie wskazać: podstawę, powierzchnię boczną, tworzącą, wysokość, oś obrotu stożka;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CD01" w14:textId="34ED7FB0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</w:tr>
      <w:tr w:rsidR="000D5BA0" w:rsidRPr="0048525D" w14:paraId="4ACDDD57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A65E" w14:textId="40C0E3FA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rozpoznaje w walcach i stożkach kąt między odcinkami oraz kąt między odcinkami i płaszczyznami (np. kąt rozwarcia stożka, kąt między tworzącą a podstawą) oraz oblicza miary tych kątów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422E" w14:textId="6E30B196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skalę podobieństwa brył podobnych</w:t>
            </w:r>
          </w:p>
        </w:tc>
      </w:tr>
      <w:tr w:rsidR="000D5BA0" w:rsidRPr="0048525D" w14:paraId="6C81A5B1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2B8B" w14:textId="40732A0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kuli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64A3" w14:textId="31E88641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stosować twierdzenie o objętości brył podobnych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rozwiązaniach prostych zadań</w:t>
            </w:r>
          </w:p>
        </w:tc>
      </w:tr>
      <w:tr w:rsidR="000D5BA0" w:rsidRPr="0048525D" w14:paraId="7EB6AFAA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6765" w14:textId="1D203426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objętości bryły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D57" w14:textId="1F287374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D5BA0" w:rsidRPr="0048525D" w14:paraId="0E42026B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D86" w14:textId="4CF05BCA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brył obrotowych (stożka, kuli, walca)</w:t>
            </w:r>
            <w:r w:rsidR="005D43D9"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w prostych, typowych zadaniach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E5C2" w14:textId="0FB66A18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22303945" w14:textId="77777777"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48525D" w:rsidRPr="0048525D" w14:paraId="57F45C19" w14:textId="77777777" w:rsidTr="000D5BA0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53F0CCF9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8525D" w:rsidRPr="0048525D" w14:paraId="25412617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7E1DA5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54438BC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D43D9" w:rsidRPr="0048525D" w14:paraId="39DE129D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171F" w14:textId="00BCD57B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określa, jaką figurą jest dany przekrój sfery płaszczyzną;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E724" w14:textId="7AD06623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zadania, w których jedna bryła jest wpisana w drugą lub opisana na niej (ostrosłup wpisany w kulę; kula wpisana w stożek, ostrosłup opisany na kuli, walec wpisany w stożek itp.);</w:t>
            </w:r>
          </w:p>
        </w:tc>
      </w:tr>
      <w:tr w:rsidR="005D43D9" w:rsidRPr="0048525D" w14:paraId="173F3622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F644" w14:textId="07351918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bryły daną płaszczyzną  (walca, stożka, kuli);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5164" w14:textId="5C59C4C3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dotyczące brył obrotowych (stożka, kuli, walca)</w:t>
            </w:r>
          </w:p>
        </w:tc>
      </w:tr>
      <w:tr w:rsidR="005D43D9" w:rsidRPr="0048525D" w14:paraId="5975A03B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E329" w14:textId="77777777" w:rsidR="003E45AD" w:rsidRDefault="005D43D9" w:rsidP="005D43D9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twierdzenie o objętości brył podobnych </w:t>
            </w:r>
          </w:p>
          <w:p w14:paraId="6F0C70CB" w14:textId="68975CA4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rozwiązaniach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0FA9" w14:textId="62FF2E79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5D43D9" w:rsidRPr="0048525D" w14:paraId="5C1C3CC5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06AD" w14:textId="77777777" w:rsidR="003E45AD" w:rsidRDefault="005D43D9" w:rsidP="005D43D9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dotyczące brył </w:t>
            </w:r>
          </w:p>
          <w:p w14:paraId="1090EF79" w14:textId="091C5EBC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 średnim stopniu trudności, z wykorzystaniem wcześniej poznanych twierdzeń z planimetrii oraz trygonometrii;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A7FC" w14:textId="38A75932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1847686D" w14:textId="77777777"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8525D" w14:paraId="5B49D4B7" w14:textId="77777777" w:rsidTr="000D5BA0">
        <w:trPr>
          <w:cantSplit/>
          <w:tblHeader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14:paraId="0ABBA230" w14:textId="77777777"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48525D" w14:paraId="514E92C8" w14:textId="77777777" w:rsidTr="000D5BA0">
        <w:trPr>
          <w:cantSplit/>
          <w:tblHeader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14:paraId="3A72630C" w14:textId="77777777"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0D5BA0" w14:paraId="1E6E221E" w14:textId="77777777" w:rsidTr="000D5BA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12D" w14:textId="480BA03D" w:rsidR="000D5BA0" w:rsidRDefault="000D5BA0" w:rsidP="000D5BA0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geometryczne dotyczące brył</w:t>
            </w:r>
          </w:p>
        </w:tc>
      </w:tr>
      <w:tr w:rsidR="000D5BA0" w14:paraId="1F02EDDB" w14:textId="77777777" w:rsidTr="000D5BA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8D8B" w14:textId="50833A3B" w:rsidR="000D5BA0" w:rsidRDefault="000D5BA0" w:rsidP="000D5BA0">
            <w:pPr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wyprowadza wzory na objętość i pole powierzchni nietypowych brył, np. </w:t>
            </w:r>
            <w:r w:rsidR="007451C6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tożka ściętego</w:t>
            </w:r>
          </w:p>
        </w:tc>
      </w:tr>
    </w:tbl>
    <w:p w14:paraId="49E7893A" w14:textId="50F60832" w:rsidR="0048525D" w:rsidRDefault="0048525D">
      <w:pPr>
        <w:rPr>
          <w:b/>
          <w:bCs/>
          <w:color w:val="002060"/>
          <w:sz w:val="20"/>
          <w:szCs w:val="20"/>
        </w:rPr>
      </w:pPr>
    </w:p>
    <w:sectPr w:rsidR="0048525D" w:rsidSect="00212C99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53792" w14:textId="77777777" w:rsidR="00AF376D" w:rsidRDefault="00AF376D" w:rsidP="00016120">
      <w:pPr>
        <w:spacing w:after="0" w:line="240" w:lineRule="auto"/>
      </w:pPr>
      <w:r>
        <w:separator/>
      </w:r>
    </w:p>
  </w:endnote>
  <w:endnote w:type="continuationSeparator" w:id="0">
    <w:p w14:paraId="309A72C3" w14:textId="77777777" w:rsidR="00AF376D" w:rsidRDefault="00AF376D" w:rsidP="0001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05D4" w14:textId="450B3E17" w:rsidR="00016120" w:rsidRDefault="00016120" w:rsidP="0001612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B59C9BA" wp14:editId="1E9CC874">
          <wp:extent cx="1457325" cy="447675"/>
          <wp:effectExtent l="0" t="0" r="9525" b="9525"/>
          <wp:docPr id="7" name="Obraz 7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E_logo_low_res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7CF0C" w14:textId="77777777" w:rsidR="00AF376D" w:rsidRDefault="00AF376D" w:rsidP="00016120">
      <w:pPr>
        <w:spacing w:after="0" w:line="240" w:lineRule="auto"/>
      </w:pPr>
      <w:r>
        <w:separator/>
      </w:r>
    </w:p>
  </w:footnote>
  <w:footnote w:type="continuationSeparator" w:id="0">
    <w:p w14:paraId="0C6304A0" w14:textId="77777777" w:rsidR="00AF376D" w:rsidRDefault="00AF376D" w:rsidP="0001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03252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1602108066">
    <w:abstractNumId w:val="16"/>
  </w:num>
  <w:num w:numId="3" w16cid:durableId="391076241">
    <w:abstractNumId w:val="10"/>
  </w:num>
  <w:num w:numId="4" w16cid:durableId="1145317880">
    <w:abstractNumId w:val="5"/>
  </w:num>
  <w:num w:numId="5" w16cid:durableId="1199971484">
    <w:abstractNumId w:val="19"/>
  </w:num>
  <w:num w:numId="6" w16cid:durableId="632103545">
    <w:abstractNumId w:val="8"/>
  </w:num>
  <w:num w:numId="7" w16cid:durableId="1210534951">
    <w:abstractNumId w:val="11"/>
  </w:num>
  <w:num w:numId="8" w16cid:durableId="1005134940">
    <w:abstractNumId w:val="9"/>
  </w:num>
  <w:num w:numId="9" w16cid:durableId="43792488">
    <w:abstractNumId w:val="17"/>
  </w:num>
  <w:num w:numId="10" w16cid:durableId="33430515">
    <w:abstractNumId w:val="14"/>
  </w:num>
  <w:num w:numId="11" w16cid:durableId="1433819039">
    <w:abstractNumId w:val="18"/>
  </w:num>
  <w:num w:numId="12" w16cid:durableId="1656375244">
    <w:abstractNumId w:val="6"/>
  </w:num>
  <w:num w:numId="13" w16cid:durableId="1580821874">
    <w:abstractNumId w:val="12"/>
  </w:num>
  <w:num w:numId="14" w16cid:durableId="1736857024">
    <w:abstractNumId w:val="2"/>
  </w:num>
  <w:num w:numId="15" w16cid:durableId="931552595">
    <w:abstractNumId w:val="4"/>
  </w:num>
  <w:num w:numId="16" w16cid:durableId="751315610">
    <w:abstractNumId w:val="7"/>
  </w:num>
  <w:num w:numId="17" w16cid:durableId="1316453897">
    <w:abstractNumId w:val="3"/>
  </w:num>
  <w:num w:numId="18" w16cid:durableId="42945166">
    <w:abstractNumId w:val="13"/>
  </w:num>
  <w:num w:numId="19" w16cid:durableId="923143807">
    <w:abstractNumId w:val="15"/>
  </w:num>
  <w:num w:numId="20" w16cid:durableId="97517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364E"/>
    <w:rsid w:val="00016120"/>
    <w:rsid w:val="000165B9"/>
    <w:rsid w:val="00026E45"/>
    <w:rsid w:val="000276E6"/>
    <w:rsid w:val="00056BFA"/>
    <w:rsid w:val="000842B3"/>
    <w:rsid w:val="00085A56"/>
    <w:rsid w:val="000A1A12"/>
    <w:rsid w:val="000A48C5"/>
    <w:rsid w:val="000D48D7"/>
    <w:rsid w:val="000D5BA0"/>
    <w:rsid w:val="000E0AF3"/>
    <w:rsid w:val="000F1C77"/>
    <w:rsid w:val="000F2F18"/>
    <w:rsid w:val="001040F9"/>
    <w:rsid w:val="0011466B"/>
    <w:rsid w:val="00121D3E"/>
    <w:rsid w:val="00152F7A"/>
    <w:rsid w:val="00174DDB"/>
    <w:rsid w:val="001778FF"/>
    <w:rsid w:val="0018082A"/>
    <w:rsid w:val="001824B9"/>
    <w:rsid w:val="00183DD7"/>
    <w:rsid w:val="001B1FF0"/>
    <w:rsid w:val="001B2ABD"/>
    <w:rsid w:val="001B6C1F"/>
    <w:rsid w:val="001C222B"/>
    <w:rsid w:val="001D5395"/>
    <w:rsid w:val="001D6CC9"/>
    <w:rsid w:val="001F0EA5"/>
    <w:rsid w:val="00212C99"/>
    <w:rsid w:val="002148F1"/>
    <w:rsid w:val="00227B85"/>
    <w:rsid w:val="002422CC"/>
    <w:rsid w:val="00242C3A"/>
    <w:rsid w:val="0026264C"/>
    <w:rsid w:val="002A2C6F"/>
    <w:rsid w:val="002A755F"/>
    <w:rsid w:val="002D26F1"/>
    <w:rsid w:val="002E2C52"/>
    <w:rsid w:val="00303078"/>
    <w:rsid w:val="00313FF6"/>
    <w:rsid w:val="003443E8"/>
    <w:rsid w:val="003448DA"/>
    <w:rsid w:val="003758FA"/>
    <w:rsid w:val="00391C0F"/>
    <w:rsid w:val="0039213B"/>
    <w:rsid w:val="003E45AD"/>
    <w:rsid w:val="00403EBC"/>
    <w:rsid w:val="0042442C"/>
    <w:rsid w:val="00450BF1"/>
    <w:rsid w:val="00476730"/>
    <w:rsid w:val="0048525D"/>
    <w:rsid w:val="004A65EC"/>
    <w:rsid w:val="004B5973"/>
    <w:rsid w:val="004E547D"/>
    <w:rsid w:val="004F503F"/>
    <w:rsid w:val="00501978"/>
    <w:rsid w:val="0051066C"/>
    <w:rsid w:val="0051162B"/>
    <w:rsid w:val="005324EB"/>
    <w:rsid w:val="00543793"/>
    <w:rsid w:val="0059743C"/>
    <w:rsid w:val="005D43D9"/>
    <w:rsid w:val="005E1E9A"/>
    <w:rsid w:val="006162D4"/>
    <w:rsid w:val="00616F2D"/>
    <w:rsid w:val="006330B8"/>
    <w:rsid w:val="00637949"/>
    <w:rsid w:val="00653BD8"/>
    <w:rsid w:val="006559EE"/>
    <w:rsid w:val="00676FE1"/>
    <w:rsid w:val="00694999"/>
    <w:rsid w:val="00695D61"/>
    <w:rsid w:val="006A6A80"/>
    <w:rsid w:val="006C7D4B"/>
    <w:rsid w:val="007350CC"/>
    <w:rsid w:val="007451C6"/>
    <w:rsid w:val="007478FA"/>
    <w:rsid w:val="00747C68"/>
    <w:rsid w:val="00795301"/>
    <w:rsid w:val="007B7AD5"/>
    <w:rsid w:val="007F47EF"/>
    <w:rsid w:val="00804585"/>
    <w:rsid w:val="0080754E"/>
    <w:rsid w:val="008516A6"/>
    <w:rsid w:val="00877024"/>
    <w:rsid w:val="0089676D"/>
    <w:rsid w:val="008F46A9"/>
    <w:rsid w:val="008F5363"/>
    <w:rsid w:val="008F6CDF"/>
    <w:rsid w:val="009064BA"/>
    <w:rsid w:val="009102D5"/>
    <w:rsid w:val="00927E3B"/>
    <w:rsid w:val="00955350"/>
    <w:rsid w:val="0099024F"/>
    <w:rsid w:val="009C6252"/>
    <w:rsid w:val="009C7545"/>
    <w:rsid w:val="009F0E75"/>
    <w:rsid w:val="009F1EB8"/>
    <w:rsid w:val="00A518DB"/>
    <w:rsid w:val="00A73DF3"/>
    <w:rsid w:val="00A80BD4"/>
    <w:rsid w:val="00A92081"/>
    <w:rsid w:val="00A93E20"/>
    <w:rsid w:val="00A962DF"/>
    <w:rsid w:val="00AA1658"/>
    <w:rsid w:val="00AB6A58"/>
    <w:rsid w:val="00AE2DFA"/>
    <w:rsid w:val="00AE6950"/>
    <w:rsid w:val="00AF376D"/>
    <w:rsid w:val="00B93C2A"/>
    <w:rsid w:val="00B97401"/>
    <w:rsid w:val="00BA6D2F"/>
    <w:rsid w:val="00C027D4"/>
    <w:rsid w:val="00C0516D"/>
    <w:rsid w:val="00C1072D"/>
    <w:rsid w:val="00C31617"/>
    <w:rsid w:val="00C41280"/>
    <w:rsid w:val="00C825A0"/>
    <w:rsid w:val="00C95BE5"/>
    <w:rsid w:val="00CA317C"/>
    <w:rsid w:val="00CB2DA0"/>
    <w:rsid w:val="00CF064C"/>
    <w:rsid w:val="00CF0975"/>
    <w:rsid w:val="00D14B08"/>
    <w:rsid w:val="00D165F2"/>
    <w:rsid w:val="00D65735"/>
    <w:rsid w:val="00DC3C93"/>
    <w:rsid w:val="00E07DA9"/>
    <w:rsid w:val="00E14665"/>
    <w:rsid w:val="00E21955"/>
    <w:rsid w:val="00E72768"/>
    <w:rsid w:val="00E90CC3"/>
    <w:rsid w:val="00EB6CAD"/>
    <w:rsid w:val="00EF01D6"/>
    <w:rsid w:val="00F445C7"/>
    <w:rsid w:val="00F46B86"/>
    <w:rsid w:val="00FE3A55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4BF2"/>
  <w15:docId w15:val="{57E5BCC1-C444-4D25-B3D9-DEC2752B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120"/>
  </w:style>
  <w:style w:type="paragraph" w:styleId="Stopka">
    <w:name w:val="footer"/>
    <w:basedOn w:val="Normalny"/>
    <w:link w:val="StopkaZnak"/>
    <w:uiPriority w:val="99"/>
    <w:unhideWhenUsed/>
    <w:rsid w:val="0001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742E-871B-4E07-99F1-C0A0C5C4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2911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</Company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Bernardeta Milewska</cp:lastModifiedBy>
  <cp:revision>2</cp:revision>
  <cp:lastPrinted>2022-08-28T09:34:00Z</cp:lastPrinted>
  <dcterms:created xsi:type="dcterms:W3CDTF">2024-09-03T12:59:00Z</dcterms:created>
  <dcterms:modified xsi:type="dcterms:W3CDTF">2024-09-03T12:59:00Z</dcterms:modified>
</cp:coreProperties>
</file>